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33 лет, обратился в приемное отделение клиники челюстно-лицевой хирургии.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боли в области нижней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Вчера споткнулся на улице, упал и ударился лицом об асфальт. Сознания не терял, вечером появились сильные головные боли. Тошноты, рвоты, эпизодов амнезии не отмечает. На утро сегодняшнего дня отмечает  сильную боль в области нижней челюсти, болезненное открывание рта, в связи с чем обратился к врачу-хирургу в поликлинику по месту жительства. Был направлен в клинику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Сопутствующие заболевания: бронхиальная астма с частыми обострениями.</w:t>
      </w:r>
    </w:p>
    <w:p>
      <w:pPr>
        <w:spacing w:after="58"/>
      </w:pPr>
      <w:r>
        <w:rPr>
          <w:b w:val="0"/>
          <w:i w:val="0"/>
        </w:rPr>
        <w:t>* Вредные привычки: отрицает.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имеет, системный администратор.</w:t>
      </w:r>
    </w:p>
    <w:p>
      <w:pPr>
        <w:spacing w:after="58"/>
      </w:pPr>
      <w:r>
        <w:rPr>
          <w:b w:val="0"/>
          <w:i w:val="0"/>
        </w:rPr>
        <w:t>* Аллергическая реакция на новокаин, лидокаин в виде крапивницы, пыльцу растений.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Больной в сознании. Состояние средней тяжести. Вес 70 кг, рост 176 см. Температура тела 37,1 ºС. Периферических отеков нет. Дыхание везикулярное, ЧДД 15 в 1 мин. Тоны сердца ритмичные, ЧСС 72 в 1 мин, АД 120/70 мм рт. ст.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Лицо асимметрично за счет наличия отека и гематомы в щечной области слева. Кожные покровы лица чистые Открывание рта 3 см, резко болезненное. Носовое дыхание не затруднено. Глотание свободное, безболезненное. Периферические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При пальпации нижней челюсти определяется “ступенька” по краю нижней челюсти в области тела слева. Симптом прямой и непрямой нагрузки положительный в области тела нижней челюсти слева и мыщелкового отростка слева.</w:t>
      </w:r>
    </w:p>
    <w:p>
      <w:pPr>
        <w:spacing w:after="58"/>
      </w:pPr>
      <w:r>
        <w:rPr>
          <w:b w:val="0"/>
          <w:i w:val="0"/>
        </w:rPr>
        <w:t>*Прикус:* ортогнатический. Преддверие рта глубокое. Слизистая оболочка полости рта бледно-розовая, умеренно увлажнена, без патологических высыпных элементов. Имеется участок кровоизлияния в слизистую оболочку в области 3.3-3.4 зубов. Перкуссия 3.3,3.4 зубов слабо болезненная,  подвижность не значительная.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в данной ситуации современным инструментальным методам исследования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внутриротовая рентгенография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ультразвуковая диагностика  сосудов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челюстно-лицевой области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компьютерная томография челюстно-лицевой области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 челюстно-лицевой области</w:t>
      </w:r>
    </w:p>
    <w:p>
      <w:pPr>
        <w:ind w:left="504"/>
      </w:pPr>
      <w:r>
        <w:rPr>
          <w:b w:val="0"/>
          <w:i/>
        </w:rPr>
        <w:t>Для диагностики переломов костей лицевого скелета рекомендуется использовать компьютерное осевое томографическое исследование на компьютерном томографе по 3D-программе с визуализацией изображения в трехмерном пространстве.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Компьютерная томография челюстно-лицевой области</w:t>
      </w:r>
    </w:p>
    <w:p>
      <w:r>
        <w:drawing>
          <wp:inline xmlns:a="http://schemas.openxmlformats.org/drawingml/2006/main" xmlns:pic="http://schemas.openxmlformats.org/drawingml/2006/picture">
            <wp:extent cx="5303520" cy="398121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d53f2995290df4af526d3e2e5838c0ed2b0ee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8121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агеева_05_рис1.jpg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Пациенту необходимо выполнить метод лабораторной диагностики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иммунологическое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группы крови и резус-принадлежности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</w:t>
      </w:r>
    </w:p>
    <w:p>
      <w:pPr>
        <w:ind w:left="504"/>
      </w:pPr>
      <w:r>
        <w:rPr>
          <w:b w:val="0"/>
          <w:i/>
        </w:rPr>
        <w:t>Лабораторное обследование пациентов с переломами нижней челюсти включает общий анализ крови (ОАК) с лейкоцитарной формулой.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метода обследования</w:t>
      </w:r>
    </w:p>
    <w:p>
      <w:pPr>
        <w:pStyle w:val="Heading3"/>
      </w:pPr>
      <w:r>
        <w:t>5.1. Клинический анализ крови</w:t>
      </w:r>
    </w:p>
    <w:p>
      <w:r>
        <w:drawing>
          <wp:inline xmlns:a="http://schemas.openxmlformats.org/drawingml/2006/main" xmlns:pic="http://schemas.openxmlformats.org/drawingml/2006/picture">
            <wp:extent cx="5303520" cy="44857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a583ac45a8d9a3fdfa143fa45fff87dcfc2a2d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4857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агеева_05_рис2.jpg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Перелом нижней челюсти в области тела слева и основания мыщелкового отростка слева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Двусторонний перелом  в области  углов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Перелом ветви нижней челюсти слева и тела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Двусторонний перелом нижней челюсти в области мыщелковых отростков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 нижней челюсти в области тела слева и основания мыщелкового отростка слева</w:t>
      </w:r>
    </w:p>
    <w:p>
      <w:pPr>
        <w:ind w:left="504"/>
      </w:pPr>
      <w:r>
        <w:rPr>
          <w:b w:val="0"/>
          <w:i/>
        </w:rPr>
        <w:t>Диагностика проводится на основании данных анамнеза, оценки жалоб. При внешнем осмотре определяют нарушение конфигурации лица за счет отека мягких тканей, гематомы, смещения подбородка в сторону от средней линии. На коже могут быть ссадины, кровоподтеки, раны. Проводится  пальпация в симметричных точках. Проверяют симптом нагрузки. С его помощью выявляют болезненный участок кости, соответствующий месту предполагаемого перелома. С помощью последовательной пальпации тела челюсти в области предполагаемого перелома выявляют направление и конфигурацию щели перелома. Определяют синхронность и достаточность амплитуды движений суставных отростков. Оценивают амплитуду движений нижней челюсти, уменьшение свидетельствует о переломе, отмечают смещение подбородка в сторону перелома при открывании рта .Оценивают прикус. Производят перкуссию зубов – перкуссия зубов, между которыми проходит щель перелома, может быть болезненной. При переломе тела челюсти в преддверии полости с язычной стороны и альвеолярной части часто определяется гематома, что является диагностическим признаком, т.к. при ушибе мягких тканей гематома возникает только с вестибулярной стороны. Достоверным признаком перелома является симптом подвижности отломков.  Инструментальные методы обследования применяют для уточнения клинического диагноза, оценки эффективности лечения и реабилитации.</w:t>
        <w:br/>
        <w:t>Данный диагноз поставлен на основании данных анамнеза, жалоб, клинического исследования  картины и данных рентгенологического исследования (линия перелома нижней челюсти в области 3.3-3.4 зубов и основания мыщелкового отростка слева).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S02.6 Перелом нижней челюсти в области тела слева и основания мыщелкового отростка слева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 показано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изготовление гладкой шины-скобы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остеосинтез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двучелюстное шинирование по Тигерштедту с  наложением межчелюстных эластических тяг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ношение теменно-подбородочной пращи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двучелюстное шинирование по Тигерштедту с  наложением межчелюстных эластических тяг</w:t>
      </w:r>
    </w:p>
    <w:p>
      <w:pPr>
        <w:ind w:left="504"/>
      </w:pPr>
      <w:r>
        <w:rPr>
          <w:b w:val="0"/>
          <w:i/>
        </w:rPr>
        <w:t>Несмотря на наличие множества различных методов хирургического лечения переломов нижней челюсти, по-прежнему зачастую предпочтение отдается способам межчелюстной ортопедической иммобилизации, которые, по данным различных клиник, достигают от 63,6% до 90%. При переломах нижней челюсти изготавливают две шины с зацепными петлями на зубы верхней и нижней челюстей. После репозиции отломков и фиксации шин на зацепные петли надевают резиновые кольца под углом, чтобы они создавали компрессию отломков. Периодически (2-3 раза в неделю) проводят осмотр пациента, корригируют прочность фиксации шин, подкручивая лигатуры, меняют резиновые кольца по мере растяжения, обрабатывают преддверие рта антисептическими растворами. Следят за состоянием прикуса, положением отломков и тканей в области перелома.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первые дни после травмы для усиления остеокластической резорбции 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препараты  железа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паратиреоидный гормон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дексаметазон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эуфиллин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паратиреоидный гормон</w:t>
      </w:r>
    </w:p>
    <w:p>
      <w:pPr>
        <w:ind w:left="504"/>
      </w:pPr>
      <w:r>
        <w:rPr>
          <w:b w:val="0"/>
          <w:i/>
        </w:rPr>
        <w:t>Впервые дни после травмы в области перелома развивается воспалительный процесс и происходит резорбция концов отломков. На этом этапе проводят стимуляцию остеокластической резорбции. Назначают паратиреоидный гормон внутримышечно по 2 мл 2 раза в день.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пациента на третьи сутки после травмы выявлено нарастание отека мягких тканей, необходимо назначить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антибактериальные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противогрибковые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противовирусные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гемостатические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антибактериальные</w:t>
      </w:r>
    </w:p>
    <w:p>
      <w:pPr>
        <w:ind w:left="504"/>
      </w:pPr>
      <w:r>
        <w:rPr>
          <w:b w:val="0"/>
          <w:i/>
        </w:rPr>
        <w:t>В случае нарастания признаков острого воспаления необходимо назначить антибиотики широкого спектра действия (до определения чувствительности микрофлоры) в сочетании с сульфаниламидными препаратами длительного действия. Используют остеотропные антибиотики: тетрациклин, окситетрациклин, линкомицин.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первом этапе репаративного процесса  к паратиреоидному гормону рекомендуется 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препараты солей железа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тималин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препараты фтора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церукал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тималин</w:t>
      </w:r>
    </w:p>
    <w:p>
      <w:pPr>
        <w:ind w:left="504"/>
      </w:pPr>
      <w:r>
        <w:rPr>
          <w:b w:val="0"/>
          <w:i/>
        </w:rPr>
        <w:t>В первые дни после травмы в области перелома развивается воспалительный процесс и происходит резорбция концов отломков. На этом этапе проводят стимуляцию остеокластической резорбции и активацию иммунитета. Назначают тималин по 30 мг.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Физиотерапевтическим методом, назначаемым  с третьих суток,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ультравысокочастотная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электростимуляция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ионофорез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ультратонотерапия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ультравысокочастотная терапия</w:t>
      </w:r>
    </w:p>
    <w:p>
      <w:pPr>
        <w:ind w:left="504"/>
      </w:pPr>
      <w:r>
        <w:rPr>
          <w:b w:val="0"/>
          <w:i/>
        </w:rPr>
        <w:t>На третьи сутки назначают ультравысокочастотное излучение (УВЧ-терапию) на послеоперационную область. УВЧ-терапия улучшает кровообращение послеоперационной зоны, увеличивает отток лимфы, способствует быстрому рассасыванию гематомы, уменьшению отека, снижению интенсивности послеоперационных болей. При этом наличие накостной металлической конструкции не является противопоказанием к назначению УВЧ-терапии.  Назначают УВЧ мощностью 20-30 Вт по 10 минут 5-7 процедур.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Через 3-4 недели после шинирования пациенту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гирудотерапия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массаж лица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ношение разгрузочных капп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лечебная миогимнастика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лечебная миогимнастика</w:t>
      </w:r>
    </w:p>
    <w:p>
      <w:pPr>
        <w:ind w:left="504"/>
      </w:pPr>
      <w:r>
        <w:rPr>
          <w:b w:val="0"/>
          <w:i/>
        </w:rPr>
        <w:t>При использовании для иммобилизации двучелюстных шин с резиновыми кольцами открывание рта можно разрабатывать через 3-4 недели после шинирования. В эти сроки отмечается контрактура в области височно-нижнечелюстного сустава и изменения со стороны жевательных мышц в результате длительного обездвиживания нижней челюсти. Для разработки движений в суставах, формирования и укрепления молодой костной мозоли рекомендуется проводить лечебную гимнастику, состоящую из разнообразных и повторяющихся движений нижней челюсти.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увеличения остеоиндуктивной активности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иммуноглобулин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витамин 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детралекс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препараты железа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витамин С</w:t>
      </w:r>
    </w:p>
    <w:p>
      <w:pPr>
        <w:ind w:left="504"/>
      </w:pPr>
      <w:r>
        <w:rPr>
          <w:b w:val="0"/>
          <w:i/>
        </w:rPr>
        <w:t>Для увеличения остеоиндуктивной̆ активности применяют витамин С 1,5 мг в сутки.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Пациенту необходимо назначить стол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первый челюстной стол (консистенции сливок)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двенадцатый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второй челюстной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первый челюстной стол (консистенции сливок)</w:t>
      </w:r>
    </w:p>
    <w:p>
      <w:pPr>
        <w:ind w:left="504"/>
      </w:pPr>
      <w:r>
        <w:rPr>
          <w:b w:val="0"/>
          <w:i/>
        </w:rPr>
        <w:t>Рекомендовано при бимаксиллярном скреплении отломков, при повреждениях с органными дефектами (губы, язык и др.) назначать пациенту первый челюстной стол и осуществлять кормление с помощью поильника или желудочного зонда. Первый челюстной стол имеет консистенцию сливок. Суточная энергетическая ценность первого челюстного стола составляет 3000-4000 калорий.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Зубы с периапикальными хроническими очагами в зоне перелома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сохранить после резекции корня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сохранить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удалить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сохранить после эндодонтического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удалить</w:t>
      </w:r>
    </w:p>
    <w:p>
      <w:pPr>
        <w:ind w:left="504"/>
      </w:pPr>
      <w:r>
        <w:rPr>
          <w:b w:val="0"/>
          <w:i/>
        </w:rPr>
        <w:t>Зубы с периапикальными хроническими очагами всегда потенциально опасны в плане развития воспалительных осложнений рекомендовано удалять из щели перелома зубы с различными патологическими изменениями и состояниями.3.3. Иное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Перелом нижней челюсти. 2020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_per/" TargetMode="External"/><Relationship Id="rId10" Type="http://schemas.openxmlformats.org/officeDocument/2006/relationships/hyperlink" Target="https://library.mededtech.ru/rest/documents/KP_per/#paragraph_jaiegj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KP_per/#paragraph_j1659v" TargetMode="External"/><Relationship Id="rId13" Type="http://schemas.openxmlformats.org/officeDocument/2006/relationships/image" Target="media/image2.jpg"/><Relationship Id="rId14" Type="http://schemas.openxmlformats.org/officeDocument/2006/relationships/hyperlink" Target="https://library.mededtech.ru/rest/documents/KP_per/#paragraph_r5qt9s" TargetMode="External"/><Relationship Id="rId15" Type="http://schemas.openxmlformats.org/officeDocument/2006/relationships/hyperlink" Target="https://library.mededtech.ru/rest/documents/KP_per/#paragraph_9vjd35" TargetMode="External"/><Relationship Id="rId16" Type="http://schemas.openxmlformats.org/officeDocument/2006/relationships/hyperlink" Target="https://library.mededtech.ru/rest/documents/KP_per/#paragraph_3s55gi" TargetMode="External"/><Relationship Id="rId17" Type="http://schemas.openxmlformats.org/officeDocument/2006/relationships/hyperlink" Target="https://library.mededtech.ru/rest/documents/KP_per/#paragraph_ei0o7p" TargetMode="External"/><Relationship Id="rId18" Type="http://schemas.openxmlformats.org/officeDocument/2006/relationships/hyperlink" Target="https://library.mededtech.ru/rest/documents/KP_per/#paragraph_oj8nv7" TargetMode="External"/><Relationship Id="rId19" Type="http://schemas.openxmlformats.org/officeDocument/2006/relationships/hyperlink" Target="https://library.mededtech.ru/rest/documents/KP_per/#paragraph_sgbso2" TargetMode="External"/><Relationship Id="rId20" Type="http://schemas.openxmlformats.org/officeDocument/2006/relationships/hyperlink" Target="https://library.mededtech.ru/rest/documents/KP_per/#paragraph_bhdaf5" TargetMode="External"/><Relationship Id="rId21" Type="http://schemas.openxmlformats.org/officeDocument/2006/relationships/hyperlink" Target="https://library.mededtech.ru/rest/documents/KP_per/#list_item_5kg5hh" TargetMode="External"/><Relationship Id="rId22" Type="http://schemas.openxmlformats.org/officeDocument/2006/relationships/hyperlink" Target="https://library.mededtech.ru/rest/documents/KP_per/#list_item_uq4joh" TargetMode="External"/><Relationship Id="rId23" Type="http://schemas.openxmlformats.org/officeDocument/2006/relationships/hyperlink" Target="https://library.mededtech.ru/rest/documents/KP_per/#paragraph_qb3p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